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10949" w14:textId="40310AFD" w:rsidR="008D5785" w:rsidRDefault="008D5785" w:rsidP="008D5785">
      <w:pPr>
        <w:spacing w:before="100" w:beforeAutospacing="1" w:after="240" w:line="276" w:lineRule="auto"/>
        <w:jc w:val="both"/>
        <w:rPr>
          <w:rStyle w:val="Fett"/>
          <w:rFonts w:ascii="Arial" w:hAnsi="Arial" w:cs="Arial"/>
          <w:b w:val="0"/>
          <w:bCs w:val="0"/>
          <w:color w:val="000000"/>
          <w:sz w:val="26"/>
          <w:szCs w:val="26"/>
        </w:rPr>
      </w:pPr>
      <w:r w:rsidRPr="008D5785">
        <w:rPr>
          <w:rStyle w:val="Fett"/>
          <w:rFonts w:ascii="Arial" w:hAnsi="Arial" w:cs="Arial"/>
          <w:color w:val="000000"/>
          <w:sz w:val="28"/>
          <w:szCs w:val="28"/>
        </w:rPr>
        <w:t>Haitian International meldet für 2025 ein Umsatzwachstum von 10 %</w:t>
      </w:r>
      <w:r w:rsidR="005B4DBB">
        <w:rPr>
          <w:rStyle w:val="Fett"/>
          <w:rFonts w:ascii="Arial" w:hAnsi="Arial" w:cs="Arial"/>
          <w:color w:val="000000"/>
          <w:sz w:val="28"/>
          <w:szCs w:val="28"/>
        </w:rPr>
        <w:br/>
      </w:r>
      <w:r w:rsidRPr="008D5785">
        <w:rPr>
          <w:rStyle w:val="Fett"/>
          <w:rFonts w:ascii="Arial" w:hAnsi="Arial" w:cs="Arial"/>
          <w:b w:val="0"/>
          <w:bCs w:val="0"/>
          <w:color w:val="000000"/>
          <w:sz w:val="26"/>
          <w:szCs w:val="26"/>
        </w:rPr>
        <w:t>Wachstum durch Nachfrage aus der Automobil- und Elektronikbranche sowie durch die weltweite Expansion der Fertigungsindustrie gestützt</w:t>
      </w:r>
    </w:p>
    <w:p w14:paraId="17BCB96C" w14:textId="77777777" w:rsidR="005B4DBB" w:rsidRPr="005B4DBB" w:rsidRDefault="005B4DBB" w:rsidP="008D5785">
      <w:pPr>
        <w:spacing w:before="100" w:beforeAutospacing="1" w:after="240" w:line="276" w:lineRule="auto"/>
        <w:jc w:val="both"/>
        <w:rPr>
          <w:rStyle w:val="Fett"/>
          <w:rFonts w:ascii="Arial" w:hAnsi="Arial" w:cs="Arial"/>
          <w:color w:val="000000"/>
          <w:sz w:val="28"/>
          <w:szCs w:val="28"/>
        </w:rPr>
      </w:pPr>
    </w:p>
    <w:p w14:paraId="59ADFE6C"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color w:val="000000"/>
        </w:rPr>
        <w:t>Hongkong, 16. März 2026 –</w:t>
      </w:r>
      <w:r w:rsidRPr="005B4DBB">
        <w:rPr>
          <w:rStyle w:val="Fett"/>
          <w:rFonts w:ascii="Arial" w:hAnsi="Arial" w:cs="Arial"/>
          <w:b w:val="0"/>
          <w:bCs w:val="0"/>
          <w:color w:val="000000"/>
        </w:rPr>
        <w:t xml:space="preserve"> Haitian International Holdings Limited, einer der weltweit größten Hersteller von Kunststoffspritzgießmaschinen, meldete für das Geschäftsjahr 2025 ein anhaltendes Wachstum.</w:t>
      </w:r>
    </w:p>
    <w:p w14:paraId="28500CD2" w14:textId="3009998B"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Der Umsatz stieg um 10,0 % auf 17.733,2 Mio. RMB, während der aktionärsbezogene Gewinn im Vergleich zum Vorjahr um 7,2 % auf 3.301,1 Mio. RMB zunahm.</w:t>
      </w:r>
    </w:p>
    <w:p w14:paraId="22089A94" w14:textId="77777777" w:rsidR="008D5785" w:rsidRPr="005B4DBB" w:rsidRDefault="008D5785" w:rsidP="005B4DBB">
      <w:pPr>
        <w:spacing w:before="100" w:beforeAutospacing="1" w:after="240" w:line="276" w:lineRule="auto"/>
        <w:rPr>
          <w:rStyle w:val="Fett"/>
          <w:rFonts w:ascii="Arial" w:hAnsi="Arial" w:cs="Arial"/>
          <w:color w:val="000000"/>
        </w:rPr>
      </w:pPr>
      <w:r w:rsidRPr="005B4DBB">
        <w:rPr>
          <w:rStyle w:val="Fett"/>
          <w:rFonts w:ascii="Arial" w:hAnsi="Arial" w:cs="Arial"/>
          <w:color w:val="000000"/>
        </w:rPr>
        <w:t>Marktentwicklung</w:t>
      </w:r>
    </w:p>
    <w:p w14:paraId="3F1ED26B"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Die globalen Produktionsbedingungen im Jahr 2025 waren geprägt von geopolitischer Unsicherheit, strukturellen Anpassungen in der Lieferkette und regionalen Unterschieden in der industriellen Nachfrage.</w:t>
      </w:r>
    </w:p>
    <w:p w14:paraId="1C7B249F" w14:textId="6B1B06BD"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Gleichzeitig trieben anhaltende Investitionen in fortschrittliche Fertigung, Energiewende und digitale Technologien die Nachfrage nach Anlagen in mehreren Schlüsselbranchen weiter an.</w:t>
      </w:r>
    </w:p>
    <w:p w14:paraId="3B38A1C2"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 xml:space="preserve">Vor diesem Hintergrund blieb die Nachfrage nach </w:t>
      </w:r>
      <w:proofErr w:type="spellStart"/>
      <w:r w:rsidRPr="005B4DBB">
        <w:rPr>
          <w:rStyle w:val="Fett"/>
          <w:rFonts w:ascii="Arial" w:hAnsi="Arial" w:cs="Arial"/>
          <w:b w:val="0"/>
          <w:bCs w:val="0"/>
          <w:color w:val="000000"/>
        </w:rPr>
        <w:t>Haitians</w:t>
      </w:r>
      <w:proofErr w:type="spellEnd"/>
      <w:r w:rsidRPr="005B4DBB">
        <w:rPr>
          <w:rStyle w:val="Fett"/>
          <w:rFonts w:ascii="Arial" w:hAnsi="Arial" w:cs="Arial"/>
          <w:b w:val="0"/>
          <w:bCs w:val="0"/>
          <w:color w:val="000000"/>
        </w:rPr>
        <w:t xml:space="preserve"> Technologie auf den globalen Märkten stabil. Der Auslandsumsatz erreichte 7.601,5 Mio. RMB, was einem Wachstum von 26,4 % gegenüber dem Vorjahr entspricht.</w:t>
      </w:r>
    </w:p>
    <w:p w14:paraId="1D537542" w14:textId="7CFA885C"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Der Ausbau der globalen Produktionskapazitäten und die Auslandsinvestitionen von Industriekunden stützten diese Entwicklung, insbesondere in Südostasien und Südamerika.</w:t>
      </w:r>
      <w:r w:rsidR="00326290">
        <w:rPr>
          <w:rStyle w:val="Fett"/>
          <w:rFonts w:ascii="Arial" w:hAnsi="Arial" w:cs="Arial"/>
          <w:b w:val="0"/>
          <w:bCs w:val="0"/>
          <w:color w:val="000000"/>
        </w:rPr>
        <w:t xml:space="preserve"> </w:t>
      </w:r>
      <w:r w:rsidRPr="005B4DBB">
        <w:rPr>
          <w:rStyle w:val="Fett"/>
          <w:rFonts w:ascii="Arial" w:hAnsi="Arial" w:cs="Arial"/>
          <w:b w:val="0"/>
          <w:bCs w:val="0"/>
          <w:color w:val="000000"/>
        </w:rPr>
        <w:t xml:space="preserve">Der Inlandsumsatz blieb mit 10.131,7 Mio. RMB auf stabilem Niveau. Während Sektoren wie New-Energy-Fahrzeuge und 3C-Elektronik eine </w:t>
      </w:r>
      <w:proofErr w:type="spellStart"/>
      <w:r w:rsidRPr="005B4DBB">
        <w:rPr>
          <w:rStyle w:val="Fett"/>
          <w:rFonts w:ascii="Arial" w:hAnsi="Arial" w:cs="Arial"/>
          <w:b w:val="0"/>
          <w:bCs w:val="0"/>
          <w:color w:val="000000"/>
        </w:rPr>
        <w:t>eine</w:t>
      </w:r>
      <w:proofErr w:type="spellEnd"/>
      <w:r w:rsidRPr="005B4DBB">
        <w:rPr>
          <w:rStyle w:val="Fett"/>
          <w:rFonts w:ascii="Arial" w:hAnsi="Arial" w:cs="Arial"/>
          <w:b w:val="0"/>
          <w:bCs w:val="0"/>
          <w:color w:val="000000"/>
        </w:rPr>
        <w:t xml:space="preserve"> hohe Investitionsdynamik zeigten, schwächte sich die Nachfrage in Teilen des Konsumgütersegments im Vergleich zum Vorjahr ab.</w:t>
      </w:r>
    </w:p>
    <w:p w14:paraId="25C62D6F" w14:textId="77777777" w:rsidR="008D5785" w:rsidRPr="005B4DBB" w:rsidRDefault="008D5785" w:rsidP="005B4DBB">
      <w:pPr>
        <w:spacing w:before="100" w:beforeAutospacing="1" w:after="240" w:line="276" w:lineRule="auto"/>
        <w:rPr>
          <w:rStyle w:val="Fett"/>
          <w:rFonts w:ascii="Arial" w:hAnsi="Arial" w:cs="Arial"/>
          <w:color w:val="000000"/>
        </w:rPr>
      </w:pPr>
      <w:r w:rsidRPr="005B4DBB">
        <w:rPr>
          <w:rStyle w:val="Fett"/>
          <w:rFonts w:ascii="Arial" w:hAnsi="Arial" w:cs="Arial"/>
          <w:color w:val="000000"/>
        </w:rPr>
        <w:t>Produktportfolio unterstützt die Nachfrage der Industrie</w:t>
      </w:r>
    </w:p>
    <w:p w14:paraId="3EC9C79A"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Alle Hauptmaschinenplattformen verzeichneten im Berichtsjahr Zuwächse. Die Zwei-Platten-Serie „Jupiter“ erzielte ein besonders starkes Wachstum, unterstützt durch anhaltende Investitionen in die Automobilzulieferkette und den Ausbau der Produktion von New-Energy-Fahrzeugen.</w:t>
      </w:r>
    </w:p>
    <w:p w14:paraId="093A0EA5" w14:textId="06DE752D"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lastRenderedPageBreak/>
        <w:t>Die elektrische Maschinenserien der Marke „</w:t>
      </w:r>
      <w:proofErr w:type="spellStart"/>
      <w:r w:rsidRPr="005B4DBB">
        <w:rPr>
          <w:rStyle w:val="Fett"/>
          <w:rFonts w:ascii="Arial" w:hAnsi="Arial" w:cs="Arial"/>
          <w:b w:val="0"/>
          <w:bCs w:val="0"/>
          <w:color w:val="000000"/>
        </w:rPr>
        <w:t>Zhafir</w:t>
      </w:r>
      <w:proofErr w:type="spellEnd"/>
      <w:r w:rsidRPr="005B4DBB">
        <w:rPr>
          <w:rStyle w:val="Fett"/>
          <w:rFonts w:ascii="Arial" w:hAnsi="Arial" w:cs="Arial"/>
          <w:b w:val="0"/>
          <w:bCs w:val="0"/>
          <w:color w:val="000000"/>
        </w:rPr>
        <w:t xml:space="preserve">“ profitierten von einer Erholung im Elektroniksektor, während die „Mars“-Serie, </w:t>
      </w:r>
      <w:proofErr w:type="spellStart"/>
      <w:r w:rsidRPr="005B4DBB">
        <w:rPr>
          <w:rStyle w:val="Fett"/>
          <w:rFonts w:ascii="Arial" w:hAnsi="Arial" w:cs="Arial"/>
          <w:b w:val="0"/>
          <w:bCs w:val="0"/>
          <w:color w:val="000000"/>
        </w:rPr>
        <w:t>Haitians</w:t>
      </w:r>
      <w:proofErr w:type="spellEnd"/>
      <w:r w:rsidRPr="005B4DBB">
        <w:rPr>
          <w:rStyle w:val="Fett"/>
          <w:rFonts w:ascii="Arial" w:hAnsi="Arial" w:cs="Arial"/>
          <w:b w:val="0"/>
          <w:bCs w:val="0"/>
          <w:color w:val="000000"/>
        </w:rPr>
        <w:t xml:space="preserve"> </w:t>
      </w:r>
      <w:proofErr w:type="spellStart"/>
      <w:r w:rsidRPr="005B4DBB">
        <w:rPr>
          <w:rStyle w:val="Fett"/>
          <w:rFonts w:ascii="Arial" w:hAnsi="Arial" w:cs="Arial"/>
          <w:b w:val="0"/>
          <w:bCs w:val="0"/>
          <w:color w:val="000000"/>
        </w:rPr>
        <w:t>servohydraulische</w:t>
      </w:r>
      <w:proofErr w:type="spellEnd"/>
      <w:r w:rsidRPr="005B4DBB">
        <w:rPr>
          <w:rStyle w:val="Fett"/>
          <w:rFonts w:ascii="Arial" w:hAnsi="Arial" w:cs="Arial"/>
          <w:b w:val="0"/>
          <w:bCs w:val="0"/>
          <w:color w:val="000000"/>
        </w:rPr>
        <w:t xml:space="preserve"> Plattform, eine stabile Nachfrage verzeichnete, die zum Teil durch die internationale Expansion chinesischer Fertigungsunternehmen gestützt wurde.</w:t>
      </w:r>
    </w:p>
    <w:p w14:paraId="135080B9"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Insgesamt stieg der Umsatz mit Spritzgießmaschinen im Vergleich zum Vorjahr um 9,7 % auf 16.897,3 Mio. RMB.</w:t>
      </w:r>
    </w:p>
    <w:p w14:paraId="1266F634" w14:textId="77777777" w:rsidR="008D5785" w:rsidRPr="005B4DBB" w:rsidRDefault="008D5785" w:rsidP="005B4DBB">
      <w:pPr>
        <w:spacing w:before="100" w:beforeAutospacing="1" w:after="240" w:line="276" w:lineRule="auto"/>
        <w:rPr>
          <w:rStyle w:val="Fett"/>
          <w:rFonts w:ascii="Arial" w:hAnsi="Arial" w:cs="Arial"/>
          <w:color w:val="000000"/>
        </w:rPr>
      </w:pPr>
      <w:r w:rsidRPr="005B4DBB">
        <w:rPr>
          <w:rStyle w:val="Fett"/>
          <w:rFonts w:ascii="Arial" w:hAnsi="Arial" w:cs="Arial"/>
          <w:color w:val="000000"/>
        </w:rPr>
        <w:t>Konsistente Strategie: Internationalisierung und technologische Entwicklung</w:t>
      </w:r>
    </w:p>
    <w:p w14:paraId="12FFD6D3"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Mit Blick auf die Zukunft wird Haitian International weiterhin eine ausgewogene Strategie verfolgen, die eine starke Präsenz im Heimatmarkt mit weiterer internationaler Expansion verbindet. Dies ermöglicht es dem Unternehmen, flexibler auf regionale Anforderungen in den Bereichen Produktdesign, Produktion und Kundensupport zu reagieren.</w:t>
      </w:r>
    </w:p>
    <w:p w14:paraId="7BE11D63"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 xml:space="preserve">„Die globalen Märkte bleiben dynamisch, aber die Nachfrage nach effizienter und zuverlässiger Produktionstechnologie wächst“, sagte Mr. Zhang Bin, Executive </w:t>
      </w:r>
      <w:proofErr w:type="spellStart"/>
      <w:r w:rsidRPr="005B4DBB">
        <w:rPr>
          <w:rStyle w:val="Fett"/>
          <w:rFonts w:ascii="Arial" w:hAnsi="Arial" w:cs="Arial"/>
          <w:b w:val="0"/>
          <w:bCs w:val="0"/>
          <w:color w:val="000000"/>
        </w:rPr>
        <w:t>Director</w:t>
      </w:r>
      <w:proofErr w:type="spellEnd"/>
      <w:r w:rsidRPr="005B4DBB">
        <w:rPr>
          <w:rStyle w:val="Fett"/>
          <w:rFonts w:ascii="Arial" w:hAnsi="Arial" w:cs="Arial"/>
          <w:b w:val="0"/>
          <w:bCs w:val="0"/>
          <w:color w:val="000000"/>
        </w:rPr>
        <w:t xml:space="preserve"> und CEO von Haitian International. „Unsere Strategie besteht darin, eine starke Präsenz auf dem heimischen Markt mit weiterer internationaler Expansion zu verbinden. Durch den Ausbau der lokalen Fertigung und die Stärkung unseres globalen Servicenetzwerks wollen wir Kunden weltweit effektiver unterstützen.“</w:t>
      </w:r>
    </w:p>
    <w:p w14:paraId="06315CC6"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Darüber hinaus bleibt technologische Innovation ein zentraler Bestandteil der Unternehmensstrategie. Haitian entwickelt weiterhin energieeffiziente, intelligente und anwendungsorientierte Spritzgießmaschinen, die auf die spezifischen Anforderungen verschiedener Branchen zugeschnitten sind.</w:t>
      </w:r>
    </w:p>
    <w:p w14:paraId="3525A802" w14:textId="2DF16895"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Neben der Technologieentwicklung legt Haitian großen Wert auf die langfristige Zusammenarbeit mit Kunden aus verschiedenen Industriezweigen. Durch die enge Zusammenarbeit mit Großkunden und Industriepartnern strebt das Unternehmen die Entwicklung anwendungsspezifischer Lösungen an und will gleichzeitig die Produktionseffizienz, Prozessstabilität und Produktqualität weiter verbessern.</w:t>
      </w:r>
    </w:p>
    <w:p w14:paraId="00AB12D9" w14:textId="77777777" w:rsidR="008D5785" w:rsidRPr="005B4DBB" w:rsidRDefault="008D5785" w:rsidP="008D5785">
      <w:pPr>
        <w:spacing w:before="100" w:beforeAutospacing="1" w:after="240" w:line="276" w:lineRule="auto"/>
        <w:jc w:val="both"/>
        <w:rPr>
          <w:rStyle w:val="Fett"/>
          <w:rFonts w:ascii="Arial" w:hAnsi="Arial" w:cs="Arial"/>
          <w:color w:val="000000"/>
        </w:rPr>
      </w:pPr>
      <w:r w:rsidRPr="005B4DBB">
        <w:rPr>
          <w:rStyle w:val="Fett"/>
          <w:rFonts w:ascii="Arial" w:hAnsi="Arial" w:cs="Arial"/>
          <w:color w:val="000000"/>
        </w:rPr>
        <w:t>Ausblick</w:t>
      </w:r>
    </w:p>
    <w:p w14:paraId="3DFEB233" w14:textId="77777777"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t>Trotz anhaltender globaler wirtschaftlicher Unsicherheiten rechnet das Unternehmen mit einer anhaltenden langfristigen Nachfrage nach effizienten Produktionstechnologien in der kunststoffverarbeitenden Industrie.</w:t>
      </w:r>
    </w:p>
    <w:p w14:paraId="2BB22FD7" w14:textId="5748525E" w:rsidR="008D5785" w:rsidRPr="005B4DBB" w:rsidRDefault="008D5785" w:rsidP="008D5785">
      <w:pPr>
        <w:spacing w:before="100" w:beforeAutospacing="1" w:after="240" w:line="276" w:lineRule="auto"/>
        <w:jc w:val="both"/>
        <w:rPr>
          <w:rStyle w:val="Fett"/>
          <w:rFonts w:ascii="Arial" w:hAnsi="Arial" w:cs="Arial"/>
          <w:b w:val="0"/>
          <w:bCs w:val="0"/>
          <w:color w:val="000000"/>
        </w:rPr>
      </w:pPr>
      <w:r w:rsidRPr="005B4DBB">
        <w:rPr>
          <w:rStyle w:val="Fett"/>
          <w:rFonts w:ascii="Arial" w:hAnsi="Arial" w:cs="Arial"/>
          <w:b w:val="0"/>
          <w:bCs w:val="0"/>
          <w:color w:val="000000"/>
        </w:rPr>
        <w:lastRenderedPageBreak/>
        <w:t xml:space="preserve">„Die Kundenanforderungen werden zunehmend anwendungsspezifischer und technologisch anspruchsvoller. Unser Fokus liegt daher darauf, technologische Innovation mit enger Zusammenarbeit mit den Kunden zu verbinden und gleichzeitig unsere globale Präsenz weiter auszubauen. Dieser Ansatz ermöglicht es uns, Kunststoffverarbeiter weltweit bei der Erreichung einer effizienten und zuverlässigen Produktion zu unterstützen“, </w:t>
      </w:r>
      <w:r w:rsidR="005B4DBB">
        <w:rPr>
          <w:rStyle w:val="Fett"/>
          <w:rFonts w:ascii="Arial" w:hAnsi="Arial" w:cs="Arial"/>
          <w:b w:val="0"/>
          <w:bCs w:val="0"/>
          <w:color w:val="000000"/>
        </w:rPr>
        <w:t>so</w:t>
      </w:r>
      <w:r w:rsidRPr="005B4DBB">
        <w:rPr>
          <w:rStyle w:val="Fett"/>
          <w:rFonts w:ascii="Arial" w:hAnsi="Arial" w:cs="Arial"/>
          <w:b w:val="0"/>
          <w:bCs w:val="0"/>
          <w:color w:val="000000"/>
        </w:rPr>
        <w:t xml:space="preserve"> Mr. Zhang Bin.</w:t>
      </w:r>
    </w:p>
    <w:p w14:paraId="0BC1025B" w14:textId="62E7999F" w:rsidR="009F5C8A" w:rsidRPr="005B4DBB" w:rsidRDefault="005B4DBB" w:rsidP="008D5785">
      <w:pPr>
        <w:spacing w:before="100" w:beforeAutospacing="1" w:after="240" w:line="276" w:lineRule="auto"/>
        <w:jc w:val="both"/>
        <w:rPr>
          <w:rFonts w:ascii="Arial" w:eastAsia="Times New Roman" w:hAnsi="Arial" w:cs="Arial"/>
          <w:b/>
          <w:bCs/>
          <w:color w:val="000000"/>
          <w:lang w:eastAsia="zh-CN"/>
        </w:rPr>
      </w:pPr>
      <w:r w:rsidRPr="005B4DBB">
        <w:rPr>
          <w:rFonts w:ascii="Arial" w:eastAsia="Times New Roman" w:hAnsi="Arial" w:cs="Arial"/>
          <w:b/>
          <w:bCs/>
          <w:color w:val="000000"/>
          <w:lang w:eastAsia="zh-CN"/>
        </w:rPr>
        <w:t>Über</w:t>
      </w:r>
      <w:r w:rsidR="009F5C8A" w:rsidRPr="005B4DBB">
        <w:rPr>
          <w:rFonts w:ascii="Arial" w:eastAsia="Times New Roman" w:hAnsi="Arial" w:cs="Arial"/>
          <w:b/>
          <w:bCs/>
          <w:color w:val="000000"/>
          <w:lang w:eastAsia="zh-CN"/>
        </w:rPr>
        <w:t xml:space="preserve"> Haitian International</w:t>
      </w:r>
    </w:p>
    <w:p w14:paraId="63CBA823" w14:textId="77777777" w:rsidR="005B4DBB" w:rsidRPr="00C64A3B" w:rsidRDefault="005B4DBB" w:rsidP="005B4DBB">
      <w:pPr>
        <w:spacing w:after="240" w:line="276" w:lineRule="auto"/>
        <w:jc w:val="both"/>
        <w:rPr>
          <w:rFonts w:ascii="Arial" w:hAnsi="Arial" w:cs="Arial"/>
        </w:rPr>
      </w:pPr>
      <w:r w:rsidRPr="00C64A3B">
        <w:rPr>
          <w:rFonts w:ascii="Arial" w:hAnsi="Arial" w:cs="Arial"/>
        </w:rPr>
        <w:t>Haitian International Holdings Limited ist einer der weltweit führenden Hersteller von Kunststoff-Spritzgießmaschinen. Das Unternehmen ist spezialisiert auf die Konzeption, Entwicklung, Herstellung und Lieferung von Komplettlösungen für eine Vielzahl von Branchen, darunter die Automobil-, Haushaltsgeräte-, Elektronik-, Verpackungs-, Gesundheits- und Bauindustrie. Haitian International verfolgt konsequent eine Strategie der Innovation, Nachhaltigkeit und globalen Expansion und setzt damit neue Maßstäbe in der kunststoffverarbeitenden Industrie.</w:t>
      </w:r>
    </w:p>
    <w:p w14:paraId="594173D0" w14:textId="442BEA63" w:rsidR="009F5C8A" w:rsidRPr="005B4DBB" w:rsidRDefault="009F5C8A" w:rsidP="005B4DBB">
      <w:pPr>
        <w:spacing w:before="100" w:beforeAutospacing="1" w:after="240" w:line="276" w:lineRule="auto"/>
        <w:jc w:val="both"/>
        <w:rPr>
          <w:rFonts w:ascii="Arial" w:eastAsia="Times New Roman" w:hAnsi="Arial" w:cs="Arial"/>
          <w:color w:val="000000"/>
          <w:lang w:eastAsia="zh-CN"/>
        </w:rPr>
      </w:pPr>
    </w:p>
    <w:sectPr w:rsidR="009F5C8A" w:rsidRPr="005B4DBB" w:rsidSect="00FA387C">
      <w:headerReference w:type="default" r:id="rId8"/>
      <w:footerReference w:type="even" r:id="rId9"/>
      <w:footerReference w:type="default" r:id="rId10"/>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BCB43" w14:textId="77777777" w:rsidR="000B7502" w:rsidRDefault="000B7502">
      <w:r>
        <w:separator/>
      </w:r>
    </w:p>
  </w:endnote>
  <w:endnote w:type="continuationSeparator" w:id="0">
    <w:p w14:paraId="5787A0B5" w14:textId="77777777" w:rsidR="000B7502" w:rsidRDefault="000B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Page Numbers (Bottom of Page)"/>
        <w:docPartUnique/>
      </w:docPartObj>
    </w:sdtPr>
    <w:sdtContent>
      <w:p w14:paraId="06B6B1D4" w14:textId="77777777" w:rsidR="008E551F" w:rsidRDefault="008E551F" w:rsidP="005C1B5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9D0BFCC" w14:textId="77777777" w:rsidR="00514472" w:rsidRDefault="00514472" w:rsidP="008E551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16"/>
        <w:szCs w:val="16"/>
      </w:rPr>
      <w:id w:val="670997534"/>
      <w:docPartObj>
        <w:docPartGallery w:val="Page Numbers (Bottom of Page)"/>
        <w:docPartUnique/>
      </w:docPartObj>
    </w:sdtPr>
    <w:sdtContent>
      <w:p w14:paraId="3E70BD99" w14:textId="77777777" w:rsidR="009F3F93" w:rsidRPr="009F3F93" w:rsidRDefault="009F3F93" w:rsidP="009F3F93">
        <w:pPr>
          <w:pStyle w:val="Fuzeile"/>
          <w:framePr w:wrap="none" w:vAnchor="text" w:hAnchor="margin" w:xAlign="right" w:y="1"/>
          <w:rPr>
            <w:rStyle w:val="Seitenzahl"/>
            <w:rFonts w:ascii="Arial" w:hAnsi="Arial" w:cs="Arial"/>
            <w:sz w:val="16"/>
            <w:szCs w:val="16"/>
            <w:lang w:val="en-US"/>
          </w:rPr>
        </w:pPr>
        <w:r w:rsidRPr="009F3F93">
          <w:rPr>
            <w:rStyle w:val="Seitenzahl"/>
            <w:rFonts w:ascii="Arial" w:hAnsi="Arial" w:cs="Arial"/>
            <w:sz w:val="16"/>
            <w:szCs w:val="16"/>
          </w:rPr>
          <w:fldChar w:fldCharType="begin"/>
        </w:r>
        <w:r w:rsidRPr="009F3F93">
          <w:rPr>
            <w:rStyle w:val="Seitenzahl"/>
            <w:rFonts w:ascii="Arial" w:hAnsi="Arial" w:cs="Arial"/>
            <w:sz w:val="16"/>
            <w:szCs w:val="16"/>
            <w:lang w:val="en-US"/>
          </w:rPr>
          <w:instrText xml:space="preserve"> PAGE </w:instrText>
        </w:r>
        <w:r w:rsidRPr="009F3F93">
          <w:rPr>
            <w:rStyle w:val="Seitenzahl"/>
            <w:rFonts w:ascii="Arial" w:hAnsi="Arial" w:cs="Arial"/>
            <w:sz w:val="16"/>
            <w:szCs w:val="16"/>
          </w:rPr>
          <w:fldChar w:fldCharType="separate"/>
        </w:r>
        <w:r w:rsidRPr="009F3F93">
          <w:rPr>
            <w:rStyle w:val="Seitenzahl"/>
            <w:rFonts w:ascii="Arial" w:hAnsi="Arial" w:cs="Arial"/>
            <w:sz w:val="16"/>
            <w:szCs w:val="16"/>
          </w:rPr>
          <w:t>1</w:t>
        </w:r>
        <w:r w:rsidRPr="009F3F93">
          <w:rPr>
            <w:rStyle w:val="Seitenzahl"/>
            <w:rFonts w:ascii="Arial" w:hAnsi="Arial" w:cs="Arial"/>
            <w:sz w:val="16"/>
            <w:szCs w:val="16"/>
          </w:rPr>
          <w:fldChar w:fldCharType="end"/>
        </w:r>
      </w:p>
    </w:sdtContent>
  </w:sdt>
  <w:p w14:paraId="75BDB7A6" w14:textId="28CDD884" w:rsidR="00716A0A" w:rsidRPr="009F3F93" w:rsidRDefault="009F3F93" w:rsidP="009F3F93">
    <w:pPr>
      <w:pStyle w:val="Fuzeile"/>
      <w:tabs>
        <w:tab w:val="clear" w:pos="4536"/>
        <w:tab w:val="clear" w:pos="9072"/>
        <w:tab w:val="left" w:pos="1350"/>
      </w:tabs>
      <w:ind w:right="360"/>
      <w:rPr>
        <w:rFonts w:ascii="Arial" w:hAnsi="Arial" w:cs="Arial"/>
        <w:sz w:val="16"/>
        <w:szCs w:val="16"/>
        <w:lang w:val="en-US"/>
      </w:rPr>
    </w:pPr>
    <w:r w:rsidRPr="009F3F93">
      <w:rPr>
        <w:rFonts w:ascii="Arial" w:hAnsi="Arial" w:cs="Arial"/>
        <w:sz w:val="16"/>
        <w:szCs w:val="16"/>
        <w:lang w:val="en-US"/>
      </w:rPr>
      <w:t>Haitian International – Annual Report 202</w:t>
    </w:r>
    <w:r>
      <w:rPr>
        <w:rFonts w:ascii="Arial" w:hAnsi="Arial" w:cs="Arial"/>
        <w:sz w:val="16"/>
        <w:szCs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7BCF1" w14:textId="77777777" w:rsidR="000B7502" w:rsidRDefault="000B7502">
      <w:r>
        <w:separator/>
      </w:r>
    </w:p>
  </w:footnote>
  <w:footnote w:type="continuationSeparator" w:id="0">
    <w:p w14:paraId="35208EA5" w14:textId="77777777" w:rsidR="000B7502" w:rsidRDefault="000B7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677C" w14:textId="77777777" w:rsidR="007327B6" w:rsidRPr="00F93AC1" w:rsidRDefault="00476086" w:rsidP="007327B6">
    <w:pPr>
      <w:pStyle w:val="Kopfzeile"/>
      <w:jc w:val="right"/>
      <w:rPr>
        <w:i/>
      </w:rPr>
    </w:pPr>
    <w:r w:rsidRPr="007C2A40">
      <w:rPr>
        <w:noProof/>
      </w:rPr>
      <w:drawing>
        <wp:inline distT="0" distB="0" distL="0" distR="0" wp14:anchorId="56296B9E" wp14:editId="0E127C6C">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28625"/>
                  </a:xfrm>
                  <a:prstGeom prst="rect">
                    <a:avLst/>
                  </a:prstGeom>
                  <a:noFill/>
                  <a:ln>
                    <a:noFill/>
                  </a:ln>
                </pic:spPr>
              </pic:pic>
            </a:graphicData>
          </a:graphic>
        </wp:inline>
      </w:drawing>
    </w:r>
  </w:p>
  <w:p w14:paraId="5CE1D34A" w14:textId="77777777" w:rsidR="007327B6" w:rsidRDefault="007327B6" w:rsidP="007327B6">
    <w:pPr>
      <w:pStyle w:val="Kopfzeile"/>
      <w:jc w:val="right"/>
      <w:rPr>
        <w:i/>
      </w:rPr>
    </w:pPr>
  </w:p>
  <w:p w14:paraId="5E73B684" w14:textId="77777777" w:rsidR="007F4DDE" w:rsidRDefault="007F4DDE" w:rsidP="007327B6">
    <w:pPr>
      <w:pStyle w:val="Kopfzeile"/>
      <w:jc w:val="right"/>
      <w:rPr>
        <w:i/>
      </w:rPr>
    </w:pPr>
  </w:p>
  <w:p w14:paraId="182DD0BB" w14:textId="77777777" w:rsidR="007F4DDE" w:rsidRDefault="007F4DDE" w:rsidP="007327B6">
    <w:pPr>
      <w:pStyle w:val="Kopfzeile"/>
      <w:jc w:val="right"/>
      <w:rPr>
        <w:i/>
      </w:rPr>
    </w:pPr>
  </w:p>
  <w:p w14:paraId="30AD4331" w14:textId="77777777" w:rsidR="002A6688" w:rsidRDefault="002A6688" w:rsidP="007327B6">
    <w:pPr>
      <w:pStyle w:val="Kopfzeile"/>
      <w:jc w:val="right"/>
      <w:rPr>
        <w:i/>
      </w:rPr>
    </w:pPr>
  </w:p>
  <w:p w14:paraId="01F77D8E" w14:textId="77777777" w:rsidR="002A6688" w:rsidRPr="00F93AC1" w:rsidRDefault="002A6688" w:rsidP="007327B6">
    <w:pPr>
      <w:pStyle w:val="Kopfzeile"/>
      <w:rPr>
        <w:rFonts w:ascii="Arial" w:hAnsi="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CE2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8A3070"/>
    <w:multiLevelType w:val="hybridMultilevel"/>
    <w:tmpl w:val="FF8EB1F6"/>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A20A3C"/>
    <w:multiLevelType w:val="hybridMultilevel"/>
    <w:tmpl w:val="591E24C0"/>
    <w:lvl w:ilvl="0" w:tplc="1DF46B90">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4BD695D"/>
    <w:multiLevelType w:val="hybridMultilevel"/>
    <w:tmpl w:val="BF189A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C0D73"/>
    <w:multiLevelType w:val="hybridMultilevel"/>
    <w:tmpl w:val="B25CE1D2"/>
    <w:lvl w:ilvl="0" w:tplc="99AE4028">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27408"/>
    <w:multiLevelType w:val="hybridMultilevel"/>
    <w:tmpl w:val="61D81788"/>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56C7EC0"/>
    <w:multiLevelType w:val="hybridMultilevel"/>
    <w:tmpl w:val="EAB00A92"/>
    <w:lvl w:ilvl="0" w:tplc="EE64FB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AA5BEA"/>
    <w:multiLevelType w:val="hybridMultilevel"/>
    <w:tmpl w:val="ECFADA6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8" w15:restartNumberingAfterBreak="0">
    <w:nsid w:val="1B2B76A6"/>
    <w:multiLevelType w:val="hybridMultilevel"/>
    <w:tmpl w:val="484A9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9152CA"/>
    <w:multiLevelType w:val="hybridMultilevel"/>
    <w:tmpl w:val="B3E0473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0" w15:restartNumberingAfterBreak="0">
    <w:nsid w:val="1ED45110"/>
    <w:multiLevelType w:val="hybridMultilevel"/>
    <w:tmpl w:val="FB9C196E"/>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F562AD"/>
    <w:multiLevelType w:val="hybridMultilevel"/>
    <w:tmpl w:val="90C2CC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7B5945"/>
    <w:multiLevelType w:val="hybridMultilevel"/>
    <w:tmpl w:val="3BEAF2FA"/>
    <w:lvl w:ilvl="0" w:tplc="D7708A16">
      <w:start w:val="1"/>
      <w:numFmt w:val="decimal"/>
      <w:lvlText w:val="%1."/>
      <w:lvlJc w:val="left"/>
      <w:pPr>
        <w:tabs>
          <w:tab w:val="num" w:pos="208"/>
        </w:tabs>
        <w:ind w:left="1260" w:hanging="420"/>
      </w:pPr>
      <w:rPr>
        <w:rFonts w:hint="eastAsia"/>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12249E2"/>
    <w:multiLevelType w:val="hybridMultilevel"/>
    <w:tmpl w:val="591E24C0"/>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B1502"/>
    <w:multiLevelType w:val="hybridMultilevel"/>
    <w:tmpl w:val="406E0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950A2F"/>
    <w:multiLevelType w:val="hybridMultilevel"/>
    <w:tmpl w:val="C90661C4"/>
    <w:lvl w:ilvl="0" w:tplc="3796C458">
      <w:start w:val="2"/>
      <w:numFmt w:val="bullet"/>
      <w:lvlText w:val="-"/>
      <w:lvlJc w:val="left"/>
      <w:pPr>
        <w:ind w:left="916" w:hanging="360"/>
      </w:pPr>
      <w:rPr>
        <w:rFonts w:ascii="Calibri" w:eastAsiaTheme="minorHAnsi" w:hAnsi="Calibri" w:cstheme="minorBidi" w:hint="default"/>
      </w:rPr>
    </w:lvl>
    <w:lvl w:ilvl="1" w:tplc="04070003" w:tentative="1">
      <w:start w:val="1"/>
      <w:numFmt w:val="bullet"/>
      <w:lvlText w:val="o"/>
      <w:lvlJc w:val="left"/>
      <w:pPr>
        <w:ind w:left="1636" w:hanging="360"/>
      </w:pPr>
      <w:rPr>
        <w:rFonts w:ascii="Courier New" w:hAnsi="Courier New" w:cs="Courier New" w:hint="default"/>
      </w:rPr>
    </w:lvl>
    <w:lvl w:ilvl="2" w:tplc="04070005" w:tentative="1">
      <w:start w:val="1"/>
      <w:numFmt w:val="bullet"/>
      <w:lvlText w:val=""/>
      <w:lvlJc w:val="left"/>
      <w:pPr>
        <w:ind w:left="2356" w:hanging="360"/>
      </w:pPr>
      <w:rPr>
        <w:rFonts w:ascii="Wingdings" w:hAnsi="Wingdings" w:hint="default"/>
      </w:rPr>
    </w:lvl>
    <w:lvl w:ilvl="3" w:tplc="04070001" w:tentative="1">
      <w:start w:val="1"/>
      <w:numFmt w:val="bullet"/>
      <w:lvlText w:val=""/>
      <w:lvlJc w:val="left"/>
      <w:pPr>
        <w:ind w:left="3076" w:hanging="360"/>
      </w:pPr>
      <w:rPr>
        <w:rFonts w:ascii="Symbol" w:hAnsi="Symbol" w:hint="default"/>
      </w:rPr>
    </w:lvl>
    <w:lvl w:ilvl="4" w:tplc="04070003" w:tentative="1">
      <w:start w:val="1"/>
      <w:numFmt w:val="bullet"/>
      <w:lvlText w:val="o"/>
      <w:lvlJc w:val="left"/>
      <w:pPr>
        <w:ind w:left="3796" w:hanging="360"/>
      </w:pPr>
      <w:rPr>
        <w:rFonts w:ascii="Courier New" w:hAnsi="Courier New" w:cs="Courier New" w:hint="default"/>
      </w:rPr>
    </w:lvl>
    <w:lvl w:ilvl="5" w:tplc="04070005" w:tentative="1">
      <w:start w:val="1"/>
      <w:numFmt w:val="bullet"/>
      <w:lvlText w:val=""/>
      <w:lvlJc w:val="left"/>
      <w:pPr>
        <w:ind w:left="4516" w:hanging="360"/>
      </w:pPr>
      <w:rPr>
        <w:rFonts w:ascii="Wingdings" w:hAnsi="Wingdings" w:hint="default"/>
      </w:rPr>
    </w:lvl>
    <w:lvl w:ilvl="6" w:tplc="04070001" w:tentative="1">
      <w:start w:val="1"/>
      <w:numFmt w:val="bullet"/>
      <w:lvlText w:val=""/>
      <w:lvlJc w:val="left"/>
      <w:pPr>
        <w:ind w:left="5236" w:hanging="360"/>
      </w:pPr>
      <w:rPr>
        <w:rFonts w:ascii="Symbol" w:hAnsi="Symbol" w:hint="default"/>
      </w:rPr>
    </w:lvl>
    <w:lvl w:ilvl="7" w:tplc="04070003" w:tentative="1">
      <w:start w:val="1"/>
      <w:numFmt w:val="bullet"/>
      <w:lvlText w:val="o"/>
      <w:lvlJc w:val="left"/>
      <w:pPr>
        <w:ind w:left="5956" w:hanging="360"/>
      </w:pPr>
      <w:rPr>
        <w:rFonts w:ascii="Courier New" w:hAnsi="Courier New" w:cs="Courier New" w:hint="default"/>
      </w:rPr>
    </w:lvl>
    <w:lvl w:ilvl="8" w:tplc="04070005" w:tentative="1">
      <w:start w:val="1"/>
      <w:numFmt w:val="bullet"/>
      <w:lvlText w:val=""/>
      <w:lvlJc w:val="left"/>
      <w:pPr>
        <w:ind w:left="6676" w:hanging="360"/>
      </w:pPr>
      <w:rPr>
        <w:rFonts w:ascii="Wingdings" w:hAnsi="Wingdings" w:hint="default"/>
      </w:rPr>
    </w:lvl>
  </w:abstractNum>
  <w:abstractNum w:abstractNumId="16" w15:restartNumberingAfterBreak="0">
    <w:nsid w:val="31FF47CE"/>
    <w:multiLevelType w:val="hybridMultilevel"/>
    <w:tmpl w:val="E0582CC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3335CBC"/>
    <w:multiLevelType w:val="hybridMultilevel"/>
    <w:tmpl w:val="04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CA009B"/>
    <w:multiLevelType w:val="hybridMultilevel"/>
    <w:tmpl w:val="CC403854"/>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3C43289C"/>
    <w:multiLevelType w:val="hybridMultilevel"/>
    <w:tmpl w:val="3000E1F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3D900722"/>
    <w:multiLevelType w:val="hybridMultilevel"/>
    <w:tmpl w:val="01FC8292"/>
    <w:lvl w:ilvl="0" w:tplc="880469A2">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91545F"/>
    <w:multiLevelType w:val="hybridMultilevel"/>
    <w:tmpl w:val="09C2AA8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FA1590"/>
    <w:multiLevelType w:val="hybridMultilevel"/>
    <w:tmpl w:val="B970AEE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C64003"/>
    <w:multiLevelType w:val="hybridMultilevel"/>
    <w:tmpl w:val="9844DC0E"/>
    <w:lvl w:ilvl="0" w:tplc="3796C458">
      <w:start w:val="2"/>
      <w:numFmt w:val="bullet"/>
      <w:lvlText w:val="-"/>
      <w:lvlJc w:val="left"/>
      <w:pPr>
        <w:ind w:left="1086" w:hanging="360"/>
      </w:pPr>
      <w:rPr>
        <w:rFonts w:ascii="Calibri" w:eastAsiaTheme="minorHAnsi" w:hAnsi="Calibri" w:cstheme="minorBidi" w:hint="default"/>
      </w:rPr>
    </w:lvl>
    <w:lvl w:ilvl="1" w:tplc="04070001">
      <w:start w:val="1"/>
      <w:numFmt w:val="bullet"/>
      <w:lvlText w:val=""/>
      <w:lvlJc w:val="left"/>
      <w:pPr>
        <w:ind w:left="1610" w:hanging="360"/>
      </w:pPr>
      <w:rPr>
        <w:rFonts w:ascii="Symbol" w:hAnsi="Symbol"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4" w15:restartNumberingAfterBreak="0">
    <w:nsid w:val="53175690"/>
    <w:multiLevelType w:val="hybridMultilevel"/>
    <w:tmpl w:val="1FBCEED6"/>
    <w:lvl w:ilvl="0" w:tplc="3796C458">
      <w:start w:val="2"/>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E33439"/>
    <w:multiLevelType w:val="hybridMultilevel"/>
    <w:tmpl w:val="5C441DB2"/>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6" w15:restartNumberingAfterBreak="0">
    <w:nsid w:val="5D5F5455"/>
    <w:multiLevelType w:val="hybridMultilevel"/>
    <w:tmpl w:val="124C3D9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D821DF4"/>
    <w:multiLevelType w:val="hybridMultilevel"/>
    <w:tmpl w:val="A0CE88DA"/>
    <w:lvl w:ilvl="0" w:tplc="55E48F66">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7F160A"/>
    <w:multiLevelType w:val="hybridMultilevel"/>
    <w:tmpl w:val="6ADACA58"/>
    <w:lvl w:ilvl="0" w:tplc="2676D0CA">
      <w:start w:val="2"/>
      <w:numFmt w:val="bullet"/>
      <w:lvlText w:val="-"/>
      <w:lvlJc w:val="left"/>
      <w:pPr>
        <w:ind w:left="720" w:hanging="360"/>
      </w:pPr>
      <w:rPr>
        <w:rFonts w:ascii="Arial" w:eastAsia="N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786372"/>
    <w:multiLevelType w:val="hybridMultilevel"/>
    <w:tmpl w:val="8C16C3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DF93012"/>
    <w:multiLevelType w:val="hybridMultilevel"/>
    <w:tmpl w:val="42CE45F0"/>
    <w:lvl w:ilvl="0" w:tplc="19682F8A">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44C52AA"/>
    <w:multiLevelType w:val="hybridMultilevel"/>
    <w:tmpl w:val="C99881BE"/>
    <w:lvl w:ilvl="0" w:tplc="27C882A0">
      <w:start w:val="1"/>
      <w:numFmt w:val="decimal"/>
      <w:lvlText w:val="%1-"/>
      <w:lvlJc w:val="left"/>
      <w:pPr>
        <w:ind w:left="1152" w:hanging="360"/>
      </w:pPr>
      <w:rPr>
        <w:rFonts w:hint="default"/>
      </w:rPr>
    </w:lvl>
    <w:lvl w:ilvl="1" w:tplc="04070019" w:tentative="1">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32" w15:restartNumberingAfterBreak="0">
    <w:nsid w:val="7C580EE5"/>
    <w:multiLevelType w:val="hybridMultilevel"/>
    <w:tmpl w:val="94B0BBF4"/>
    <w:lvl w:ilvl="0" w:tplc="C9A6A18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DD941B02">
      <w:numFmt w:val="bullet"/>
      <w:lvlText w:val=""/>
      <w:lvlJc w:val="left"/>
      <w:pPr>
        <w:ind w:left="2340" w:hanging="360"/>
      </w:pPr>
      <w:rPr>
        <w:rFonts w:ascii="Wingdings" w:eastAsiaTheme="minorHAnsi" w:hAnsi="Wingdings" w:cstheme="minorBidi" w:hint="default"/>
      </w:rPr>
    </w:lvl>
    <w:lvl w:ilvl="3" w:tplc="13D8A956">
      <w:start w:val="1"/>
      <w:numFmt w:val="decimal"/>
      <w:lvlText w:val="%4."/>
      <w:lvlJc w:val="left"/>
      <w:pPr>
        <w:ind w:left="2880" w:hanging="360"/>
      </w:pPr>
      <w:rPr>
        <w:rFonts w:asciiTheme="minorHAnsi" w:eastAsiaTheme="minorHAnsi" w:hAnsiTheme="minorHAnsi" w:cstheme="minorBidi"/>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CB86348"/>
    <w:multiLevelType w:val="hybridMultilevel"/>
    <w:tmpl w:val="0F00F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E4057"/>
    <w:multiLevelType w:val="hybridMultilevel"/>
    <w:tmpl w:val="9370D72C"/>
    <w:lvl w:ilvl="0" w:tplc="D292BE5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0274447">
    <w:abstractNumId w:val="0"/>
  </w:num>
  <w:num w:numId="2" w16cid:durableId="168102789">
    <w:abstractNumId w:val="6"/>
  </w:num>
  <w:num w:numId="3" w16cid:durableId="404228319">
    <w:abstractNumId w:val="28"/>
  </w:num>
  <w:num w:numId="4" w16cid:durableId="1704748735">
    <w:abstractNumId w:val="2"/>
  </w:num>
  <w:num w:numId="5" w16cid:durableId="990213844">
    <w:abstractNumId w:val="8"/>
  </w:num>
  <w:num w:numId="6" w16cid:durableId="1014455611">
    <w:abstractNumId w:val="33"/>
  </w:num>
  <w:num w:numId="7" w16cid:durableId="2124184340">
    <w:abstractNumId w:val="29"/>
  </w:num>
  <w:num w:numId="8" w16cid:durableId="1344161138">
    <w:abstractNumId w:val="12"/>
  </w:num>
  <w:num w:numId="9" w16cid:durableId="1457218020">
    <w:abstractNumId w:val="32"/>
  </w:num>
  <w:num w:numId="10" w16cid:durableId="682320031">
    <w:abstractNumId w:val="4"/>
  </w:num>
  <w:num w:numId="11" w16cid:durableId="1406612931">
    <w:abstractNumId w:val="19"/>
  </w:num>
  <w:num w:numId="12" w16cid:durableId="65886036">
    <w:abstractNumId w:val="31"/>
  </w:num>
  <w:num w:numId="13" w16cid:durableId="750933052">
    <w:abstractNumId w:val="13"/>
  </w:num>
  <w:num w:numId="14" w16cid:durableId="486557676">
    <w:abstractNumId w:val="34"/>
  </w:num>
  <w:num w:numId="15" w16cid:durableId="1752265322">
    <w:abstractNumId w:val="24"/>
  </w:num>
  <w:num w:numId="16" w16cid:durableId="815606890">
    <w:abstractNumId w:val="10"/>
  </w:num>
  <w:num w:numId="17" w16cid:durableId="1380668084">
    <w:abstractNumId w:val="30"/>
  </w:num>
  <w:num w:numId="18" w16cid:durableId="54671459">
    <w:abstractNumId w:val="20"/>
  </w:num>
  <w:num w:numId="19" w16cid:durableId="700712180">
    <w:abstractNumId w:val="27"/>
  </w:num>
  <w:num w:numId="20" w16cid:durableId="8605609">
    <w:abstractNumId w:val="9"/>
  </w:num>
  <w:num w:numId="21" w16cid:durableId="228544120">
    <w:abstractNumId w:val="7"/>
  </w:num>
  <w:num w:numId="22" w16cid:durableId="680743708">
    <w:abstractNumId w:val="25"/>
  </w:num>
  <w:num w:numId="23" w16cid:durableId="630668170">
    <w:abstractNumId w:val="22"/>
  </w:num>
  <w:num w:numId="24" w16cid:durableId="164590322">
    <w:abstractNumId w:val="1"/>
  </w:num>
  <w:num w:numId="25" w16cid:durableId="1713071537">
    <w:abstractNumId w:val="15"/>
  </w:num>
  <w:num w:numId="26" w16cid:durableId="1635940213">
    <w:abstractNumId w:val="18"/>
  </w:num>
  <w:num w:numId="27" w16cid:durableId="633340685">
    <w:abstractNumId w:val="5"/>
  </w:num>
  <w:num w:numId="28" w16cid:durableId="768500215">
    <w:abstractNumId w:val="23"/>
  </w:num>
  <w:num w:numId="29" w16cid:durableId="681470038">
    <w:abstractNumId w:val="21"/>
  </w:num>
  <w:num w:numId="30" w16cid:durableId="430398773">
    <w:abstractNumId w:val="26"/>
  </w:num>
  <w:num w:numId="31" w16cid:durableId="1159535665">
    <w:abstractNumId w:val="16"/>
  </w:num>
  <w:num w:numId="32" w16cid:durableId="741755762">
    <w:abstractNumId w:val="17"/>
  </w:num>
  <w:num w:numId="33" w16cid:durableId="643895181">
    <w:abstractNumId w:val="3"/>
  </w:num>
  <w:num w:numId="34" w16cid:durableId="696083361">
    <w:abstractNumId w:val="11"/>
  </w:num>
  <w:num w:numId="35" w16cid:durableId="1422292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bordersDoNotSurroundHeader/>
  <w:bordersDoNotSurroundFooter/>
  <w:hideSpellingErrors/>
  <w:hideGrammaticalErrors/>
  <w:proofState w:spelling="clean" w:grammar="clean"/>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F93"/>
    <w:rsid w:val="00012E9C"/>
    <w:rsid w:val="00017469"/>
    <w:rsid w:val="00037A3D"/>
    <w:rsid w:val="00040D5C"/>
    <w:rsid w:val="0004772E"/>
    <w:rsid w:val="00076112"/>
    <w:rsid w:val="000A411D"/>
    <w:rsid w:val="000B7502"/>
    <w:rsid w:val="00102998"/>
    <w:rsid w:val="001031AF"/>
    <w:rsid w:val="0011399F"/>
    <w:rsid w:val="00120B18"/>
    <w:rsid w:val="00133EAC"/>
    <w:rsid w:val="00134980"/>
    <w:rsid w:val="00173C78"/>
    <w:rsid w:val="00174609"/>
    <w:rsid w:val="001937E9"/>
    <w:rsid w:val="00195FB7"/>
    <w:rsid w:val="001A1BF1"/>
    <w:rsid w:val="001B1A3A"/>
    <w:rsid w:val="001D0D7F"/>
    <w:rsid w:val="001E7051"/>
    <w:rsid w:val="00212151"/>
    <w:rsid w:val="00220AF9"/>
    <w:rsid w:val="002342AF"/>
    <w:rsid w:val="00241962"/>
    <w:rsid w:val="0025193E"/>
    <w:rsid w:val="00254AF1"/>
    <w:rsid w:val="0026006C"/>
    <w:rsid w:val="00263933"/>
    <w:rsid w:val="002869D0"/>
    <w:rsid w:val="00292981"/>
    <w:rsid w:val="002A5591"/>
    <w:rsid w:val="002A6688"/>
    <w:rsid w:val="002D2337"/>
    <w:rsid w:val="00324A85"/>
    <w:rsid w:val="00326290"/>
    <w:rsid w:val="00365F6B"/>
    <w:rsid w:val="00372167"/>
    <w:rsid w:val="00381B37"/>
    <w:rsid w:val="00385711"/>
    <w:rsid w:val="00391FA7"/>
    <w:rsid w:val="0039378E"/>
    <w:rsid w:val="00394234"/>
    <w:rsid w:val="003B6250"/>
    <w:rsid w:val="003C458A"/>
    <w:rsid w:val="003D56B9"/>
    <w:rsid w:val="003E616B"/>
    <w:rsid w:val="00422F06"/>
    <w:rsid w:val="00425519"/>
    <w:rsid w:val="0047293D"/>
    <w:rsid w:val="00473309"/>
    <w:rsid w:val="004752DF"/>
    <w:rsid w:val="00476025"/>
    <w:rsid w:val="00476086"/>
    <w:rsid w:val="0048076D"/>
    <w:rsid w:val="004C713E"/>
    <w:rsid w:val="004F7097"/>
    <w:rsid w:val="004F7589"/>
    <w:rsid w:val="00514472"/>
    <w:rsid w:val="00527722"/>
    <w:rsid w:val="00534CDE"/>
    <w:rsid w:val="00540BDB"/>
    <w:rsid w:val="0055548C"/>
    <w:rsid w:val="00565C9A"/>
    <w:rsid w:val="005706A2"/>
    <w:rsid w:val="00584484"/>
    <w:rsid w:val="005A0128"/>
    <w:rsid w:val="005A0B31"/>
    <w:rsid w:val="005B4DBB"/>
    <w:rsid w:val="005C07CA"/>
    <w:rsid w:val="005D400F"/>
    <w:rsid w:val="005D47BB"/>
    <w:rsid w:val="005F4228"/>
    <w:rsid w:val="00607F41"/>
    <w:rsid w:val="006116D1"/>
    <w:rsid w:val="006127DD"/>
    <w:rsid w:val="006148DF"/>
    <w:rsid w:val="00650F6A"/>
    <w:rsid w:val="00675012"/>
    <w:rsid w:val="006900BD"/>
    <w:rsid w:val="006D0BD1"/>
    <w:rsid w:val="00701BF0"/>
    <w:rsid w:val="007146BB"/>
    <w:rsid w:val="00716A0A"/>
    <w:rsid w:val="007170E7"/>
    <w:rsid w:val="00723202"/>
    <w:rsid w:val="007327B6"/>
    <w:rsid w:val="0073558D"/>
    <w:rsid w:val="007413D1"/>
    <w:rsid w:val="00743C17"/>
    <w:rsid w:val="0078523A"/>
    <w:rsid w:val="007853F3"/>
    <w:rsid w:val="007948EC"/>
    <w:rsid w:val="007B0F6E"/>
    <w:rsid w:val="007C7A28"/>
    <w:rsid w:val="007F4DDE"/>
    <w:rsid w:val="008014EB"/>
    <w:rsid w:val="00806C8F"/>
    <w:rsid w:val="00834CCA"/>
    <w:rsid w:val="0084028E"/>
    <w:rsid w:val="00851511"/>
    <w:rsid w:val="00857D50"/>
    <w:rsid w:val="0086691E"/>
    <w:rsid w:val="00867F2F"/>
    <w:rsid w:val="008A4722"/>
    <w:rsid w:val="008C7773"/>
    <w:rsid w:val="008D363D"/>
    <w:rsid w:val="008D3BFD"/>
    <w:rsid w:val="008D5785"/>
    <w:rsid w:val="008D61CC"/>
    <w:rsid w:val="008E551F"/>
    <w:rsid w:val="008F35F1"/>
    <w:rsid w:val="008F3DB4"/>
    <w:rsid w:val="00903CEB"/>
    <w:rsid w:val="00910A53"/>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52E1"/>
    <w:rsid w:val="009E7DF1"/>
    <w:rsid w:val="009F119A"/>
    <w:rsid w:val="009F3F93"/>
    <w:rsid w:val="009F5C8A"/>
    <w:rsid w:val="00A0451F"/>
    <w:rsid w:val="00A24778"/>
    <w:rsid w:val="00A25C0D"/>
    <w:rsid w:val="00A43C96"/>
    <w:rsid w:val="00A64DA2"/>
    <w:rsid w:val="00A774CD"/>
    <w:rsid w:val="00A853E5"/>
    <w:rsid w:val="00A943DF"/>
    <w:rsid w:val="00AA35B4"/>
    <w:rsid w:val="00AA7429"/>
    <w:rsid w:val="00AB447B"/>
    <w:rsid w:val="00AC2B35"/>
    <w:rsid w:val="00AC7031"/>
    <w:rsid w:val="00AD7F5A"/>
    <w:rsid w:val="00AE272B"/>
    <w:rsid w:val="00AE2F99"/>
    <w:rsid w:val="00AF153F"/>
    <w:rsid w:val="00AF2439"/>
    <w:rsid w:val="00B02444"/>
    <w:rsid w:val="00B10C2A"/>
    <w:rsid w:val="00B45BDD"/>
    <w:rsid w:val="00B56717"/>
    <w:rsid w:val="00B91DD1"/>
    <w:rsid w:val="00B93145"/>
    <w:rsid w:val="00BB03BF"/>
    <w:rsid w:val="00BC6D66"/>
    <w:rsid w:val="00BF146E"/>
    <w:rsid w:val="00BF56E4"/>
    <w:rsid w:val="00C12814"/>
    <w:rsid w:val="00C16BEC"/>
    <w:rsid w:val="00C542AE"/>
    <w:rsid w:val="00C741F1"/>
    <w:rsid w:val="00C84288"/>
    <w:rsid w:val="00C859A5"/>
    <w:rsid w:val="00C9364B"/>
    <w:rsid w:val="00CA5746"/>
    <w:rsid w:val="00CF0E16"/>
    <w:rsid w:val="00D221E9"/>
    <w:rsid w:val="00D35635"/>
    <w:rsid w:val="00D6130E"/>
    <w:rsid w:val="00D62C12"/>
    <w:rsid w:val="00D72A40"/>
    <w:rsid w:val="00DA5043"/>
    <w:rsid w:val="00DB1AE1"/>
    <w:rsid w:val="00DC413F"/>
    <w:rsid w:val="00E14892"/>
    <w:rsid w:val="00E220B8"/>
    <w:rsid w:val="00E33344"/>
    <w:rsid w:val="00E379D7"/>
    <w:rsid w:val="00E64263"/>
    <w:rsid w:val="00E65D9C"/>
    <w:rsid w:val="00E663A3"/>
    <w:rsid w:val="00E701E7"/>
    <w:rsid w:val="00E71EEE"/>
    <w:rsid w:val="00E806C5"/>
    <w:rsid w:val="00E8719D"/>
    <w:rsid w:val="00E91127"/>
    <w:rsid w:val="00E9341C"/>
    <w:rsid w:val="00EA4868"/>
    <w:rsid w:val="00EA6603"/>
    <w:rsid w:val="00EB2561"/>
    <w:rsid w:val="00F10F7D"/>
    <w:rsid w:val="00F36E02"/>
    <w:rsid w:val="00F65F61"/>
    <w:rsid w:val="00F73B39"/>
    <w:rsid w:val="00FA387C"/>
    <w:rsid w:val="00FB240D"/>
    <w:rsid w:val="00FC013B"/>
    <w:rsid w:val="00FC689F"/>
    <w:rsid w:val="00FF3657"/>
    <w:rsid w:val="00FF66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7A1567A"/>
  <w14:defaultImageDpi w14:val="300"/>
  <w15:chartTrackingRefBased/>
  <w15:docId w15:val="{80B45E74-0AE4-6746-827A-282266D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Standard">
    <w:name w:val="Normal"/>
    <w:qFormat/>
    <w:rsid w:val="001B1A3A"/>
    <w:rPr>
      <w:sz w:val="24"/>
      <w:szCs w:val="24"/>
    </w:rPr>
  </w:style>
  <w:style w:type="paragraph" w:styleId="berschrift1">
    <w:name w:val="heading 1"/>
    <w:basedOn w:val="Standard"/>
    <w:next w:val="Standard"/>
    <w:link w:val="berschrift1Zchn"/>
    <w:uiPriority w:val="9"/>
    <w:qFormat/>
    <w:rsid w:val="000A41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9F3F93"/>
    <w:pPr>
      <w:spacing w:before="100" w:beforeAutospacing="1" w:after="100" w:afterAutospacing="1"/>
      <w:outlineLvl w:val="1"/>
    </w:pPr>
    <w:rPr>
      <w:rFonts w:eastAsia="Times New Roman"/>
      <w:b/>
      <w:bCs/>
      <w:sz w:val="36"/>
      <w:szCs w:val="3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93AC1"/>
    <w:pPr>
      <w:tabs>
        <w:tab w:val="center" w:pos="4536"/>
        <w:tab w:val="right" w:pos="9072"/>
      </w:tabs>
    </w:pPr>
  </w:style>
  <w:style w:type="paragraph" w:styleId="Fuzeile">
    <w:name w:val="footer"/>
    <w:basedOn w:val="Standard"/>
    <w:link w:val="FuzeileZchn"/>
    <w:uiPriority w:val="99"/>
    <w:rsid w:val="00F93AC1"/>
    <w:pPr>
      <w:tabs>
        <w:tab w:val="center" w:pos="4536"/>
        <w:tab w:val="right" w:pos="9072"/>
      </w:tabs>
    </w:pPr>
  </w:style>
  <w:style w:type="table" w:styleId="Tabellenraster">
    <w:name w:val="Table Grid"/>
    <w:basedOn w:val="NormaleTabelle"/>
    <w:rsid w:val="00F9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3AC1"/>
    <w:rPr>
      <w:color w:val="0000FF"/>
      <w:u w:val="single"/>
    </w:rPr>
  </w:style>
  <w:style w:type="character" w:styleId="BesuchterLink">
    <w:name w:val="FollowedHyperlink"/>
    <w:uiPriority w:val="99"/>
    <w:semiHidden/>
    <w:unhideWhenUsed/>
    <w:rsid w:val="00E14892"/>
    <w:rPr>
      <w:color w:val="800080"/>
      <w:u w:val="single"/>
    </w:rPr>
  </w:style>
  <w:style w:type="character" w:styleId="NichtaufgelsteErwhnung">
    <w:name w:val="Unresolved Mention"/>
    <w:basedOn w:val="Absatz-Standardschriftart"/>
    <w:uiPriority w:val="99"/>
    <w:semiHidden/>
    <w:unhideWhenUsed/>
    <w:rsid w:val="00B91DD1"/>
    <w:rPr>
      <w:color w:val="605E5C"/>
      <w:shd w:val="clear" w:color="auto" w:fill="E1DFDD"/>
    </w:rPr>
  </w:style>
  <w:style w:type="character" w:styleId="Seitenzahl">
    <w:name w:val="page number"/>
    <w:basedOn w:val="Absatz-Standardschriftart"/>
    <w:uiPriority w:val="99"/>
    <w:semiHidden/>
    <w:unhideWhenUsed/>
    <w:rsid w:val="008E551F"/>
  </w:style>
  <w:style w:type="character" w:customStyle="1" w:styleId="FuzeileZchn">
    <w:name w:val="Fußzeile Zchn"/>
    <w:basedOn w:val="Absatz-Standardschriftart"/>
    <w:link w:val="Fuzeile"/>
    <w:uiPriority w:val="99"/>
    <w:rsid w:val="008E551F"/>
    <w:rPr>
      <w:sz w:val="24"/>
      <w:szCs w:val="24"/>
    </w:rPr>
  </w:style>
  <w:style w:type="paragraph" w:styleId="KeinLeerraum">
    <w:name w:val="No Spacing"/>
    <w:uiPriority w:val="1"/>
    <w:qFormat/>
    <w:rsid w:val="008E551F"/>
    <w:rPr>
      <w:rFonts w:asciiTheme="minorHAnsi" w:hAnsiTheme="minorHAnsi" w:cstheme="minorBidi"/>
      <w:sz w:val="22"/>
      <w:szCs w:val="22"/>
      <w:lang w:val="en-US" w:eastAsia="zh-CN"/>
    </w:rPr>
  </w:style>
  <w:style w:type="paragraph" w:styleId="Listenabsatz">
    <w:name w:val="List Paragraph"/>
    <w:basedOn w:val="Standard"/>
    <w:uiPriority w:val="99"/>
    <w:qFormat/>
    <w:rsid w:val="00565C9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rsid w:val="00565C9A"/>
    <w:pPr>
      <w:widowControl w:val="0"/>
      <w:ind w:firstLineChars="200" w:firstLine="420"/>
      <w:jc w:val="both"/>
    </w:pPr>
    <w:rPr>
      <w:rFonts w:ascii="Calibri" w:eastAsia="SimSun" w:hAnsi="Calibri"/>
      <w:kern w:val="2"/>
      <w:sz w:val="21"/>
      <w:szCs w:val="22"/>
      <w:lang w:val="en-US" w:eastAsia="zh-CN"/>
    </w:rPr>
  </w:style>
  <w:style w:type="paragraph" w:styleId="berarbeitung">
    <w:name w:val="Revision"/>
    <w:hidden/>
    <w:uiPriority w:val="99"/>
    <w:semiHidden/>
    <w:rsid w:val="00527722"/>
    <w:rPr>
      <w:sz w:val="24"/>
      <w:szCs w:val="24"/>
    </w:rPr>
  </w:style>
  <w:style w:type="character" w:styleId="Fett">
    <w:name w:val="Strong"/>
    <w:basedOn w:val="Absatz-Standardschriftart"/>
    <w:uiPriority w:val="22"/>
    <w:qFormat/>
    <w:rsid w:val="009F3F93"/>
    <w:rPr>
      <w:b/>
      <w:bCs/>
    </w:rPr>
  </w:style>
  <w:style w:type="character" w:styleId="Hervorhebung">
    <w:name w:val="Emphasis"/>
    <w:basedOn w:val="Absatz-Standardschriftart"/>
    <w:uiPriority w:val="20"/>
    <w:qFormat/>
    <w:rsid w:val="009F3F93"/>
    <w:rPr>
      <w:i/>
      <w:iCs/>
    </w:rPr>
  </w:style>
  <w:style w:type="character" w:customStyle="1" w:styleId="berschrift2Zchn">
    <w:name w:val="Überschrift 2 Zchn"/>
    <w:basedOn w:val="Absatz-Standardschriftart"/>
    <w:link w:val="berschrift2"/>
    <w:uiPriority w:val="9"/>
    <w:rsid w:val="009F3F93"/>
    <w:rPr>
      <w:rFonts w:eastAsia="Times New Roman"/>
      <w:b/>
      <w:bCs/>
      <w:sz w:val="36"/>
      <w:szCs w:val="36"/>
      <w:lang w:eastAsia="zh-CN"/>
    </w:rPr>
  </w:style>
  <w:style w:type="paragraph" w:styleId="StandardWeb">
    <w:name w:val="Normal (Web)"/>
    <w:basedOn w:val="Standard"/>
    <w:uiPriority w:val="99"/>
    <w:unhideWhenUsed/>
    <w:rsid w:val="009F3F93"/>
    <w:pPr>
      <w:spacing w:before="100" w:beforeAutospacing="1" w:after="100" w:afterAutospacing="1"/>
    </w:pPr>
    <w:rPr>
      <w:rFonts w:eastAsia="Times New Roman"/>
      <w:lang w:eastAsia="zh-CN"/>
    </w:rPr>
  </w:style>
  <w:style w:type="character" w:customStyle="1" w:styleId="apple-converted-space">
    <w:name w:val="apple-converted-space"/>
    <w:basedOn w:val="Absatz-Standardschriftart"/>
    <w:rsid w:val="009F3F93"/>
  </w:style>
  <w:style w:type="character" w:customStyle="1" w:styleId="berschrift1Zchn">
    <w:name w:val="Überschrift 1 Zchn"/>
    <w:basedOn w:val="Absatz-Standardschriftart"/>
    <w:link w:val="berschrift1"/>
    <w:uiPriority w:val="9"/>
    <w:rsid w:val="000A411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Haitian International reports 10% revenue growth in 2025</vt:lpstr>
    </vt:vector>
  </TitlesOfParts>
  <Manager/>
  <Company>Haitian International</Company>
  <LinksUpToDate>false</LinksUpToDate>
  <CharactersWithSpaces>5138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Haitian International reports 10% revenue growth in 2025</dc:title>
  <dc:subject/>
  <dc:creator>Dominik Wiesner</dc:creator>
  <cp:keywords/>
  <dc:description/>
  <cp:lastModifiedBy>Wiesner Dominik</cp:lastModifiedBy>
  <cp:revision>3</cp:revision>
  <cp:lastPrinted>2017-01-26T15:10:00Z</cp:lastPrinted>
  <dcterms:created xsi:type="dcterms:W3CDTF">2026-03-17T15:39:00Z</dcterms:created>
  <dcterms:modified xsi:type="dcterms:W3CDTF">2026-03-17T15:55:00Z</dcterms:modified>
  <cp:category/>
</cp:coreProperties>
</file>